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header2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4417530" w14:textId="530660B4" w:rsidR="00233A1B" w:rsidRPr="00233A1B" w:rsidRDefault="00233A1B" w:rsidP="00233A1B">
      <w:pPr>
        <w:pStyle w:val="H01"/>
      </w:pPr>
      <w:r w:rsidRPr="00233A1B">
        <w:t xml:space="preserve">Topic </w:t>
      </w:r>
      <w:r w:rsidR="00741FBE">
        <w:t>4</w:t>
      </w:r>
      <w:r w:rsidRPr="00233A1B">
        <w:t xml:space="preserve"> </w:t>
      </w:r>
      <w:r w:rsidR="00741FBE">
        <w:t>Population and migration</w:t>
      </w:r>
    </w:p>
    <w:p w14:paraId="3B7ECF96" w14:textId="762941D4" w:rsidR="008B3A49" w:rsidRDefault="008B3A49" w:rsidP="008B3A49">
      <w:pPr>
        <w:pStyle w:val="HA"/>
      </w:pPr>
      <w:r>
        <w:t xml:space="preserve">Topic summary: </w:t>
      </w:r>
      <w:r w:rsidR="00741FBE">
        <w:t>4.1 Global population</w:t>
      </w:r>
    </w:p>
    <w:p w14:paraId="3DFEE26B" w14:textId="77777777" w:rsidR="00741FBE" w:rsidRPr="00741FBE" w:rsidRDefault="00741FBE" w:rsidP="00741FBE">
      <w:pPr>
        <w:pStyle w:val="UL01"/>
      </w:pPr>
      <w:r w:rsidRPr="00741FBE">
        <w:t>Population density is the average number of people/km</w:t>
      </w:r>
      <w:r w:rsidRPr="00741FBE">
        <w:rPr>
          <w:vertAlign w:val="superscript"/>
        </w:rPr>
        <w:t>2</w:t>
      </w:r>
      <w:r w:rsidRPr="00741FBE">
        <w:t xml:space="preserve"> in a country or region.</w:t>
      </w:r>
    </w:p>
    <w:p w14:paraId="7640EC73" w14:textId="77777777" w:rsidR="00741FBE" w:rsidRPr="00741FBE" w:rsidRDefault="00741FBE" w:rsidP="00741FBE">
      <w:pPr>
        <w:pStyle w:val="UL01"/>
      </w:pPr>
      <w:r w:rsidRPr="00741FBE">
        <w:t xml:space="preserve">Countries with a high population density are said to be densely populated, while regions with a low population density are sparsely populated. </w:t>
      </w:r>
    </w:p>
    <w:p w14:paraId="33BBDFDB" w14:textId="77777777" w:rsidR="00741FBE" w:rsidRPr="00741FBE" w:rsidRDefault="00741FBE" w:rsidP="00741FBE">
      <w:pPr>
        <w:pStyle w:val="UL01"/>
      </w:pPr>
      <w:r w:rsidRPr="00741FBE">
        <w:t>Population distribution is the way in which the population is spread out over a given area.</w:t>
      </w:r>
    </w:p>
    <w:p w14:paraId="49879393" w14:textId="77777777" w:rsidR="00741FBE" w:rsidRPr="00741FBE" w:rsidRDefault="00741FBE" w:rsidP="00741FBE">
      <w:pPr>
        <w:pStyle w:val="UL01"/>
      </w:pPr>
      <w:r w:rsidRPr="00741FBE">
        <w:t>Globally, Oceania has the lowest density, and Asia has the highest. Asia is over three times greater than Africa, the second-ranking continent.</w:t>
      </w:r>
    </w:p>
    <w:p w14:paraId="71353F06" w14:textId="77777777" w:rsidR="00741FBE" w:rsidRPr="00741FBE" w:rsidRDefault="00741FBE" w:rsidP="00741FBE">
      <w:pPr>
        <w:pStyle w:val="UL01"/>
      </w:pPr>
      <w:r w:rsidRPr="00741FBE">
        <w:t>Population density is influenced by physical and environmental factors such as climate, soil fertility, water supply, proximity to coasts, raw materials, disease and pests.</w:t>
      </w:r>
    </w:p>
    <w:p w14:paraId="22BFB41B" w14:textId="77777777" w:rsidR="00741FBE" w:rsidRPr="00741FBE" w:rsidRDefault="00741FBE" w:rsidP="00741FBE">
      <w:pPr>
        <w:pStyle w:val="UL01"/>
      </w:pPr>
      <w:r w:rsidRPr="00741FBE">
        <w:t>It is also affected by human factors such as cumulative causation, colonial legacies, social influences, political decisions, international borders and political unrest.</w:t>
      </w:r>
    </w:p>
    <w:p w14:paraId="2F6D2B14" w14:textId="77777777" w:rsidR="00741FBE" w:rsidRPr="00741FBE" w:rsidRDefault="00741FBE" w:rsidP="00741FBE">
      <w:pPr>
        <w:pStyle w:val="UL01"/>
      </w:pPr>
      <w:r w:rsidRPr="00741FBE">
        <w:t>It has been estimated that 10,000 years ago, the world population was no more than 5 million.</w:t>
      </w:r>
    </w:p>
    <w:p w14:paraId="0A1A6BBF" w14:textId="77777777" w:rsidR="00741FBE" w:rsidRPr="00741FBE" w:rsidRDefault="00741FBE" w:rsidP="00741FBE">
      <w:pPr>
        <w:pStyle w:val="UL01"/>
      </w:pPr>
      <w:r w:rsidRPr="00741FBE">
        <w:t>Mainly due to technological advances, the carrying capacity of populated areas improved and population increased, quite slowly at first, but from the 1960s, much more rapidly (population explosion).</w:t>
      </w:r>
    </w:p>
    <w:p w14:paraId="32A42AD2" w14:textId="77777777" w:rsidR="00741FBE" w:rsidRPr="00741FBE" w:rsidRDefault="00741FBE" w:rsidP="00741FBE">
      <w:pPr>
        <w:pStyle w:val="UL01"/>
      </w:pPr>
      <w:r w:rsidRPr="00741FBE">
        <w:t>Growth rates have recently slowed, especially in HICs and UMICs.</w:t>
      </w:r>
    </w:p>
    <w:p w14:paraId="5F0B891D" w14:textId="200AB9DD" w:rsidR="00741FBE" w:rsidRPr="00741FBE" w:rsidRDefault="00741FBE" w:rsidP="00741FBE">
      <w:pPr>
        <w:pStyle w:val="UL01"/>
      </w:pPr>
      <w:r w:rsidRPr="00741FBE">
        <w:t>The population of any country is determined by the difference between its birth rate and death rate, +/</w:t>
      </w:r>
      <w:r>
        <w:t>–</w:t>
      </w:r>
      <w:r w:rsidRPr="00741FBE">
        <w:t xml:space="preserve"> net migration.</w:t>
      </w:r>
    </w:p>
    <w:p w14:paraId="5897FAAB" w14:textId="77777777" w:rsidR="00741FBE" w:rsidRPr="00741FBE" w:rsidRDefault="00741FBE" w:rsidP="00741FBE">
      <w:pPr>
        <w:pStyle w:val="UL01"/>
      </w:pPr>
      <w:r w:rsidRPr="00741FBE">
        <w:t>Other important variables are total fertility rate (TFR), infant mortality rate (IMR) and life expectancy.</w:t>
      </w:r>
    </w:p>
    <w:p w14:paraId="5164F2E2" w14:textId="77777777" w:rsidR="00741FBE" w:rsidRPr="00741FBE" w:rsidRDefault="00741FBE" w:rsidP="00741FBE">
      <w:pPr>
        <w:pStyle w:val="UL01"/>
      </w:pPr>
      <w:r w:rsidRPr="00741FBE">
        <w:t>Social, economic, environmental and political factors affect levels of fertility and mortality.</w:t>
      </w:r>
    </w:p>
    <w:p w14:paraId="43C5DFE3" w14:textId="77777777" w:rsidR="00741FBE" w:rsidRPr="00741FBE" w:rsidRDefault="00741FBE" w:rsidP="00741FBE">
      <w:pPr>
        <w:pStyle w:val="UL01"/>
      </w:pPr>
      <w:r w:rsidRPr="00741FBE">
        <w:t>Fertility levels in most parts of the world have fallen faster than previously expected, with an increasing number of countries below replacement-level fertility.</w:t>
      </w:r>
    </w:p>
    <w:p w14:paraId="192AD4DE" w14:textId="77777777" w:rsidR="00741FBE" w:rsidRPr="00741FBE" w:rsidRDefault="00741FBE" w:rsidP="00741FBE">
      <w:pPr>
        <w:pStyle w:val="UL01"/>
      </w:pPr>
      <w:r w:rsidRPr="00741FBE">
        <w:t>The crude birth rate and the crude death rate are very generalised measures of the population of a country or region.</w:t>
      </w:r>
    </w:p>
    <w:p w14:paraId="1B35147A" w14:textId="77777777" w:rsidR="00741FBE" w:rsidRPr="00741FBE" w:rsidRDefault="00741FBE" w:rsidP="00741FBE">
      <w:pPr>
        <w:pStyle w:val="UL01"/>
      </w:pPr>
      <w:r w:rsidRPr="00741FBE">
        <w:t>Age- (and gender-) specific measures of fertility and mortality provide more accurate information.</w:t>
      </w:r>
    </w:p>
    <w:p w14:paraId="5E5F5F44" w14:textId="77777777" w:rsidR="00741FBE" w:rsidRPr="00741FBE" w:rsidRDefault="00741FBE" w:rsidP="00741FBE">
      <w:pPr>
        <w:pStyle w:val="UL01"/>
      </w:pPr>
      <w:r w:rsidRPr="00741FBE">
        <w:t>The causes of death vary significantly between the developed and developing worlds.</w:t>
      </w:r>
    </w:p>
    <w:p w14:paraId="0BD69078" w14:textId="77777777" w:rsidR="00741FBE" w:rsidRPr="00741FBE" w:rsidRDefault="00741FBE" w:rsidP="00741FBE">
      <w:pPr>
        <w:pStyle w:val="UL01"/>
      </w:pPr>
      <w:r w:rsidRPr="00741FBE">
        <w:t>The infant mortality rate is frequently considered to be the most sensitive indicator of socio-economic progress.</w:t>
      </w:r>
    </w:p>
    <w:p w14:paraId="4170FA20" w14:textId="77777777" w:rsidR="00741FBE" w:rsidRPr="00741FBE" w:rsidRDefault="00741FBE" w:rsidP="00741FBE">
      <w:pPr>
        <w:pStyle w:val="UL01"/>
      </w:pPr>
      <w:r w:rsidRPr="00741FBE">
        <w:t>It is likely that the life expectancy gap between rich and poor countries will continue to narrow in the future.</w:t>
      </w:r>
    </w:p>
    <w:p w14:paraId="19F12A2E" w14:textId="3FC1CBF4" w:rsidR="005C6600" w:rsidRPr="002A137C" w:rsidRDefault="00A81871" w:rsidP="00741FBE">
      <w:pPr>
        <w:pStyle w:val="HB"/>
      </w:pPr>
      <w:r>
        <w:t>Additional work</w:t>
      </w:r>
    </w:p>
    <w:p w14:paraId="61F5374E" w14:textId="5B38F2C3" w:rsidR="00741FBE" w:rsidRPr="00741FBE" w:rsidRDefault="00741FBE" w:rsidP="00741FBE">
      <w:pPr>
        <w:pStyle w:val="OL01"/>
      </w:pPr>
      <w:r w:rsidRPr="00741FBE">
        <w:rPr>
          <w:rStyle w:val="OL01Numeral"/>
        </w:rPr>
        <w:t>1</w:t>
      </w:r>
      <w:r>
        <w:tab/>
      </w:r>
      <w:r w:rsidRPr="00741FBE">
        <w:t>Research the advances in the Neolithic Revolution that stimulated population growth.</w:t>
      </w:r>
    </w:p>
    <w:p w14:paraId="1757A8C5" w14:textId="6FA99A52" w:rsidR="00741FBE" w:rsidRPr="00741FBE" w:rsidRDefault="00741FBE" w:rsidP="00741FBE">
      <w:pPr>
        <w:pStyle w:val="OL01"/>
      </w:pPr>
      <w:r w:rsidRPr="00741FBE">
        <w:rPr>
          <w:rStyle w:val="OL01Numeral"/>
        </w:rPr>
        <w:t>2</w:t>
      </w:r>
      <w:r>
        <w:tab/>
      </w:r>
      <w:r w:rsidRPr="00741FBE">
        <w:t>Suggest why we can be more certain about the accuracy of demographic data from the nineteenth century onwards compared with the period before.</w:t>
      </w:r>
    </w:p>
    <w:p w14:paraId="18F24398" w14:textId="7C1A3C31" w:rsidR="00741FBE" w:rsidRPr="00741FBE" w:rsidRDefault="00741FBE" w:rsidP="00741FBE">
      <w:pPr>
        <w:pStyle w:val="OL01"/>
      </w:pPr>
      <w:r w:rsidRPr="00741FBE">
        <w:rPr>
          <w:rStyle w:val="OL01Numeral"/>
        </w:rPr>
        <w:t>3</w:t>
      </w:r>
      <w:r>
        <w:tab/>
      </w:r>
      <w:r w:rsidRPr="00741FBE">
        <w:t>What are the main factors responsible for the UK’s current relatively low birth rate of about 11/1000?</w:t>
      </w:r>
    </w:p>
    <w:p w14:paraId="2117D046" w14:textId="0B519613" w:rsidR="00741FBE" w:rsidRPr="00741FBE" w:rsidRDefault="00741FBE" w:rsidP="00741FBE">
      <w:pPr>
        <w:pStyle w:val="OL01"/>
      </w:pPr>
      <w:r w:rsidRPr="00741FBE">
        <w:rPr>
          <w:rStyle w:val="OL01Numeral"/>
        </w:rPr>
        <w:t>4</w:t>
      </w:r>
      <w:r>
        <w:tab/>
      </w:r>
      <w:r w:rsidRPr="00741FBE">
        <w:t>Investigate how fertility has changed in the last 50 years in the country in which you live.</w:t>
      </w:r>
    </w:p>
    <w:p w14:paraId="654C6BB0" w14:textId="77777777" w:rsidR="00A34548" w:rsidRDefault="00A34548">
      <w:pPr>
        <w:spacing w:after="0" w:line="240" w:lineRule="auto"/>
        <w:rPr>
          <w:b/>
          <w:color w:val="000000" w:themeColor="text1"/>
          <w:sz w:val="24"/>
        </w:rPr>
      </w:pPr>
      <w:r>
        <w:br w:type="page"/>
      </w:r>
    </w:p>
    <w:p w14:paraId="21388903" w14:textId="35505151" w:rsidR="005C6600" w:rsidRPr="002A137C" w:rsidRDefault="00A81871" w:rsidP="00C92F07">
      <w:pPr>
        <w:pStyle w:val="HB"/>
      </w:pPr>
      <w:r>
        <w:lastRenderedPageBreak/>
        <w:t>Suggested websites</w:t>
      </w:r>
    </w:p>
    <w:p w14:paraId="13CDEFDF" w14:textId="07B080DB" w:rsidR="00741FBE" w:rsidRPr="00741FBE" w:rsidRDefault="00741FBE" w:rsidP="00741FBE">
      <w:pPr>
        <w:pStyle w:val="UL01"/>
      </w:pPr>
      <w:r w:rsidRPr="00741FBE">
        <w:t xml:space="preserve">Population Reference Bureau: </w:t>
      </w:r>
      <w:hyperlink r:id="rId8" w:history="1">
        <w:r w:rsidRPr="002265A2">
          <w:rPr>
            <w:rStyle w:val="Hyperlink"/>
          </w:rPr>
          <w:t>www.prb.org</w:t>
        </w:r>
      </w:hyperlink>
    </w:p>
    <w:p w14:paraId="5E780B90" w14:textId="194C0CFB" w:rsidR="00741FBE" w:rsidRPr="00741FBE" w:rsidRDefault="00741FBE" w:rsidP="00741FBE">
      <w:pPr>
        <w:pStyle w:val="UL01"/>
      </w:pPr>
      <w:r w:rsidRPr="00741FBE">
        <w:t xml:space="preserve">United Nations Population Fund: </w:t>
      </w:r>
      <w:hyperlink r:id="rId9" w:history="1">
        <w:r w:rsidRPr="00741FBE">
          <w:rPr>
            <w:rStyle w:val="Hyperlink"/>
          </w:rPr>
          <w:t>www.unfpa.org</w:t>
        </w:r>
      </w:hyperlink>
    </w:p>
    <w:p w14:paraId="144562F9" w14:textId="12DA9413" w:rsidR="00741FBE" w:rsidRPr="00001654" w:rsidRDefault="00741FBE" w:rsidP="00741FBE">
      <w:pPr>
        <w:pStyle w:val="UL01"/>
      </w:pPr>
      <w:r w:rsidRPr="00741FBE">
        <w:t xml:space="preserve">United Nations </w:t>
      </w:r>
      <w:r w:rsidR="00001654">
        <w:t>global issues: Population</w:t>
      </w:r>
      <w:r w:rsidRPr="00741FBE">
        <w:t xml:space="preserve">: </w:t>
      </w:r>
      <w:hyperlink r:id="rId10" w:history="1">
        <w:r w:rsidR="006532DC" w:rsidRPr="002265A2">
          <w:rPr>
            <w:rStyle w:val="Hyperlink"/>
          </w:rPr>
          <w:t>www.un.org/en/global-issues/population</w:t>
        </w:r>
      </w:hyperlink>
      <w:r w:rsidR="006532DC">
        <w:t xml:space="preserve"> </w:t>
      </w:r>
    </w:p>
    <w:p w14:paraId="44F2A19B" w14:textId="2D3D4752" w:rsidR="00741FBE" w:rsidRPr="00741FBE" w:rsidRDefault="00741FBE" w:rsidP="00741FBE">
      <w:pPr>
        <w:pStyle w:val="UL01"/>
      </w:pPr>
      <w:r w:rsidRPr="00741FBE">
        <w:t xml:space="preserve">World Population Balance: </w:t>
      </w:r>
      <w:hyperlink r:id="rId11" w:history="1">
        <w:r w:rsidRPr="00741FBE">
          <w:rPr>
            <w:rStyle w:val="Hyperlink"/>
          </w:rPr>
          <w:t>www.worldpopulationbalance.org</w:t>
        </w:r>
      </w:hyperlink>
    </w:p>
    <w:p w14:paraId="76C4A79F" w14:textId="090785F7" w:rsidR="005C6600" w:rsidRPr="002A137C" w:rsidRDefault="00A81871" w:rsidP="002A137C">
      <w:pPr>
        <w:pStyle w:val="HB"/>
      </w:pPr>
      <w:r>
        <w:t>Key terms</w:t>
      </w:r>
    </w:p>
    <w:p w14:paraId="474741E2" w14:textId="06CA5680" w:rsidR="00741FBE" w:rsidRDefault="00741FBE" w:rsidP="00D71F1D">
      <w:pPr>
        <w:pStyle w:val="UL01"/>
        <w:numPr>
          <w:ilvl w:val="0"/>
          <w:numId w:val="0"/>
        </w:numPr>
      </w:pPr>
      <w:r w:rsidRPr="006532DC">
        <w:rPr>
          <w:b/>
          <w:bCs/>
          <w:color w:val="E46A56"/>
        </w:rPr>
        <w:t>Carrying capacity</w:t>
      </w:r>
      <w:r w:rsidR="00001654">
        <w:t xml:space="preserve"> is the largest population that the resources of a</w:t>
      </w:r>
      <w:r w:rsidR="00D71F1D">
        <w:t xml:space="preserve"> given environment can support.</w:t>
      </w:r>
    </w:p>
    <w:p w14:paraId="13B74F06" w14:textId="589512CE" w:rsidR="00741FBE" w:rsidRPr="00AB27E6" w:rsidRDefault="00741FBE" w:rsidP="00D71F1D">
      <w:pPr>
        <w:pStyle w:val="UL01"/>
        <w:numPr>
          <w:ilvl w:val="0"/>
          <w:numId w:val="0"/>
        </w:numPr>
      </w:pPr>
      <w:r w:rsidRPr="006532DC">
        <w:rPr>
          <w:b/>
          <w:bCs/>
          <w:color w:val="E46A56"/>
        </w:rPr>
        <w:t>Child mortality rate</w:t>
      </w:r>
      <w:r w:rsidR="00001654">
        <w:t xml:space="preserve"> is the number of children who die before their fifth birthday per thousand live births.</w:t>
      </w:r>
    </w:p>
    <w:p w14:paraId="7A5F5D70" w14:textId="0AE7F232" w:rsidR="00741FBE" w:rsidRDefault="00741FBE" w:rsidP="00D71F1D">
      <w:pPr>
        <w:pStyle w:val="UL01"/>
        <w:numPr>
          <w:ilvl w:val="0"/>
          <w:numId w:val="0"/>
        </w:numPr>
      </w:pPr>
      <w:r w:rsidRPr="00CC7E28">
        <w:rPr>
          <w:b/>
          <w:bCs/>
          <w:color w:val="E46A56"/>
        </w:rPr>
        <w:t>Crude birth rate</w:t>
      </w:r>
      <w:r w:rsidR="00001654" w:rsidRPr="00CC7E28">
        <w:rPr>
          <w:color w:val="E46A56"/>
        </w:rPr>
        <w:t xml:space="preserve"> </w:t>
      </w:r>
      <w:r w:rsidR="00001654">
        <w:t xml:space="preserve">(generally referred to as the </w:t>
      </w:r>
      <w:r w:rsidR="00001654" w:rsidRPr="00D71F1D">
        <w:rPr>
          <w:i/>
        </w:rPr>
        <w:t>birth rate</w:t>
      </w:r>
      <w:r w:rsidR="00001654">
        <w:t xml:space="preserve">) is the number of births per thousand population in a given year. It is only a very broad </w:t>
      </w:r>
      <w:proofErr w:type="gramStart"/>
      <w:r w:rsidR="00001654">
        <w:t>indicator</w:t>
      </w:r>
      <w:proofErr w:type="gramEnd"/>
      <w:r w:rsidR="00001654">
        <w:t xml:space="preserve"> as it does not take into account the age and sex distribution of the population.</w:t>
      </w:r>
    </w:p>
    <w:p w14:paraId="37907DBC" w14:textId="4554C14C" w:rsidR="00741FBE" w:rsidRDefault="00741FBE" w:rsidP="00D71F1D">
      <w:pPr>
        <w:pStyle w:val="UL01"/>
        <w:numPr>
          <w:ilvl w:val="0"/>
          <w:numId w:val="0"/>
        </w:numPr>
      </w:pPr>
      <w:r w:rsidRPr="00CC7E28">
        <w:rPr>
          <w:b/>
          <w:bCs/>
          <w:color w:val="E46A56"/>
        </w:rPr>
        <w:t>Crude death rate</w:t>
      </w:r>
      <w:r w:rsidR="00001654" w:rsidRPr="00CC7E28">
        <w:rPr>
          <w:color w:val="E46A56"/>
        </w:rPr>
        <w:t xml:space="preserve"> </w:t>
      </w:r>
      <w:r w:rsidR="00001654">
        <w:t xml:space="preserve">(generally referred to as the </w:t>
      </w:r>
      <w:r w:rsidR="00001654" w:rsidRPr="00D71F1D">
        <w:rPr>
          <w:i/>
        </w:rPr>
        <w:t>death rate</w:t>
      </w:r>
      <w:r w:rsidR="00001654">
        <w:t xml:space="preserve">) is the number of deaths per thousand population in a given year. It is only a very broad indicator as it </w:t>
      </w:r>
      <w:proofErr w:type="gramStart"/>
      <w:r w:rsidR="00001654">
        <w:t>is heavily influenced</w:t>
      </w:r>
      <w:proofErr w:type="gramEnd"/>
      <w:r w:rsidR="00001654">
        <w:t xml:space="preserve"> by the age structure of the population.</w:t>
      </w:r>
    </w:p>
    <w:p w14:paraId="3D346C70" w14:textId="7CE1306F" w:rsidR="00741FBE" w:rsidRDefault="00741FBE" w:rsidP="00D71F1D">
      <w:pPr>
        <w:pStyle w:val="UL01"/>
        <w:numPr>
          <w:ilvl w:val="0"/>
          <w:numId w:val="0"/>
        </w:numPr>
      </w:pPr>
      <w:r w:rsidRPr="00CC7E28">
        <w:rPr>
          <w:b/>
          <w:bCs/>
          <w:color w:val="E46A56"/>
        </w:rPr>
        <w:t>Cumulative causation</w:t>
      </w:r>
      <w:r w:rsidR="00001654">
        <w:t xml:space="preserve"> is the process whereby a significant increase in economic growth can lead to even more growth as more money circulates in the economy.</w:t>
      </w:r>
    </w:p>
    <w:p w14:paraId="1F30E80B" w14:textId="063C173A" w:rsidR="00741FBE" w:rsidRDefault="00741FBE" w:rsidP="00D71F1D">
      <w:pPr>
        <w:pStyle w:val="UL01"/>
        <w:numPr>
          <w:ilvl w:val="0"/>
          <w:numId w:val="0"/>
        </w:numPr>
      </w:pPr>
      <w:r w:rsidRPr="00CC7E28">
        <w:rPr>
          <w:b/>
          <w:bCs/>
          <w:color w:val="E46A56"/>
        </w:rPr>
        <w:t>Demographer</w:t>
      </w:r>
      <w:r w:rsidR="00001654" w:rsidRPr="00CC7E28">
        <w:rPr>
          <w:b/>
          <w:bCs/>
          <w:color w:val="E46A56"/>
        </w:rPr>
        <w:t>s</w:t>
      </w:r>
      <w:r w:rsidR="00001654">
        <w:t xml:space="preserve"> are professionals who study the characteristics of human populations.</w:t>
      </w:r>
    </w:p>
    <w:p w14:paraId="3242C24B" w14:textId="018874D3" w:rsidR="00741FBE" w:rsidRDefault="00741FBE" w:rsidP="00D71F1D">
      <w:pPr>
        <w:pStyle w:val="UL01"/>
        <w:numPr>
          <w:ilvl w:val="0"/>
          <w:numId w:val="0"/>
        </w:numPr>
      </w:pPr>
      <w:r w:rsidRPr="00CC7E28">
        <w:rPr>
          <w:b/>
          <w:bCs/>
          <w:color w:val="E46A56"/>
        </w:rPr>
        <w:t>Densely populated</w:t>
      </w:r>
      <w:r w:rsidR="00001654">
        <w:t xml:space="preserve"> refers to regions with a high population density.</w:t>
      </w:r>
    </w:p>
    <w:p w14:paraId="462477FC" w14:textId="6F49F38B" w:rsidR="00741FBE" w:rsidRDefault="00741FBE" w:rsidP="00D71F1D">
      <w:pPr>
        <w:pStyle w:val="UL01"/>
        <w:numPr>
          <w:ilvl w:val="0"/>
          <w:numId w:val="0"/>
        </w:numPr>
      </w:pPr>
      <w:r w:rsidRPr="00CC7E28">
        <w:rPr>
          <w:b/>
          <w:bCs/>
          <w:color w:val="E46A56"/>
        </w:rPr>
        <w:t>Fertility rate</w:t>
      </w:r>
      <w:r w:rsidR="00001654">
        <w:t xml:space="preserve"> is the number of live births per 1000 women aged 15–44 years in a given year.</w:t>
      </w:r>
    </w:p>
    <w:p w14:paraId="001BD5FE" w14:textId="566C4F47" w:rsidR="00741FBE" w:rsidRDefault="00741FBE" w:rsidP="00D71F1D">
      <w:pPr>
        <w:pStyle w:val="UL01"/>
        <w:numPr>
          <w:ilvl w:val="0"/>
          <w:numId w:val="0"/>
        </w:numPr>
      </w:pPr>
      <w:r w:rsidRPr="00CC7E28">
        <w:rPr>
          <w:b/>
          <w:bCs/>
          <w:color w:val="E46A56"/>
        </w:rPr>
        <w:t>Infant mortality rate</w:t>
      </w:r>
      <w:r w:rsidR="00001654">
        <w:t xml:space="preserve"> is the number of deaths of infants under one year of age per thousand live births in a given year</w:t>
      </w:r>
      <w:r w:rsidR="003C63E3">
        <w:t>.</w:t>
      </w:r>
    </w:p>
    <w:p w14:paraId="46ED23C6" w14:textId="532CDD67" w:rsidR="00741FBE" w:rsidRDefault="00741FBE" w:rsidP="00D71F1D">
      <w:pPr>
        <w:pStyle w:val="UL01"/>
        <w:numPr>
          <w:ilvl w:val="0"/>
          <w:numId w:val="0"/>
        </w:numPr>
      </w:pPr>
      <w:r w:rsidRPr="00CC7E28">
        <w:rPr>
          <w:b/>
          <w:bCs/>
          <w:color w:val="E46A56"/>
        </w:rPr>
        <w:t>Life expectancy at birth</w:t>
      </w:r>
      <w:r w:rsidR="00001654">
        <w:t xml:space="preserve"> is the average number of years a newborn infant can expect to live under current mortality levels.</w:t>
      </w:r>
    </w:p>
    <w:p w14:paraId="12824D1C" w14:textId="6B1B7B33" w:rsidR="00741FBE" w:rsidRDefault="00741FBE" w:rsidP="00D71F1D">
      <w:pPr>
        <w:pStyle w:val="UL01"/>
        <w:numPr>
          <w:ilvl w:val="0"/>
          <w:numId w:val="0"/>
        </w:numPr>
      </w:pPr>
      <w:r w:rsidRPr="00CC7E28">
        <w:rPr>
          <w:b/>
          <w:bCs/>
          <w:color w:val="E46A56"/>
        </w:rPr>
        <w:t>Natural change</w:t>
      </w:r>
      <w:r w:rsidR="00001654">
        <w:t xml:space="preserve"> is the difference between the number of births and the number of deaths in a country or region.</w:t>
      </w:r>
    </w:p>
    <w:p w14:paraId="2BD4D56F" w14:textId="37DF01E2" w:rsidR="00741FBE" w:rsidRDefault="00741FBE" w:rsidP="00D71F1D">
      <w:pPr>
        <w:pStyle w:val="UL01"/>
        <w:numPr>
          <w:ilvl w:val="0"/>
          <w:numId w:val="0"/>
        </w:numPr>
      </w:pPr>
      <w:r w:rsidRPr="00CC7E28">
        <w:rPr>
          <w:b/>
          <w:bCs/>
          <w:color w:val="E46A56"/>
        </w:rPr>
        <w:t xml:space="preserve">Natural </w:t>
      </w:r>
      <w:proofErr w:type="gramStart"/>
      <w:r w:rsidRPr="00CC7E28">
        <w:rPr>
          <w:b/>
          <w:bCs/>
          <w:color w:val="E46A56"/>
        </w:rPr>
        <w:t>decrease</w:t>
      </w:r>
      <w:proofErr w:type="gramEnd"/>
      <w:r w:rsidR="00001654">
        <w:t xml:space="preserve"> is </w:t>
      </w:r>
      <w:proofErr w:type="gramStart"/>
      <w:r w:rsidR="00001654">
        <w:t>when</w:t>
      </w:r>
      <w:proofErr w:type="gramEnd"/>
      <w:r w:rsidR="00001654">
        <w:t xml:space="preserve"> the number of births is lower than the number of deaths.</w:t>
      </w:r>
    </w:p>
    <w:p w14:paraId="1F0CC7E3" w14:textId="368E479F" w:rsidR="00741FBE" w:rsidRDefault="00741FBE" w:rsidP="00D71F1D">
      <w:pPr>
        <w:pStyle w:val="UL01"/>
        <w:numPr>
          <w:ilvl w:val="0"/>
          <w:numId w:val="0"/>
        </w:numPr>
      </w:pPr>
      <w:r w:rsidRPr="00CC7E28">
        <w:rPr>
          <w:b/>
          <w:bCs/>
          <w:color w:val="E46A56"/>
        </w:rPr>
        <w:t xml:space="preserve">Natural </w:t>
      </w:r>
      <w:proofErr w:type="gramStart"/>
      <w:r w:rsidRPr="00CC7E28">
        <w:rPr>
          <w:b/>
          <w:bCs/>
          <w:color w:val="E46A56"/>
        </w:rPr>
        <w:t>increase</w:t>
      </w:r>
      <w:proofErr w:type="gramEnd"/>
      <w:r w:rsidR="00001654">
        <w:t xml:space="preserve"> is </w:t>
      </w:r>
      <w:proofErr w:type="gramStart"/>
      <w:r w:rsidR="0048245A">
        <w:t>when</w:t>
      </w:r>
      <w:proofErr w:type="gramEnd"/>
      <w:r w:rsidR="0048245A">
        <w:t xml:space="preserve"> the number of births is higher than the number of deaths.</w:t>
      </w:r>
    </w:p>
    <w:p w14:paraId="485D0AA8" w14:textId="156035C2" w:rsidR="00741FBE" w:rsidRDefault="00741FBE" w:rsidP="00D71F1D">
      <w:pPr>
        <w:pStyle w:val="UL01"/>
        <w:numPr>
          <w:ilvl w:val="0"/>
          <w:numId w:val="0"/>
        </w:numPr>
      </w:pPr>
      <w:r w:rsidRPr="00CC7E28">
        <w:rPr>
          <w:b/>
          <w:bCs/>
          <w:color w:val="E46A56"/>
        </w:rPr>
        <w:t>Net migration</w:t>
      </w:r>
      <w:r w:rsidR="0048245A">
        <w:t xml:space="preserve"> is the number of immigrants entering a region or country minus the number of emigrants who leave the same region or country. </w:t>
      </w:r>
      <w:r w:rsidR="003C63E3">
        <w:t>The balance may be either positive or negative.</w:t>
      </w:r>
    </w:p>
    <w:p w14:paraId="346EBBE7" w14:textId="1C4C3E83" w:rsidR="00741FBE" w:rsidRDefault="00741FBE" w:rsidP="00D71F1D">
      <w:pPr>
        <w:pStyle w:val="UL01"/>
        <w:numPr>
          <w:ilvl w:val="0"/>
          <w:numId w:val="0"/>
        </w:numPr>
      </w:pPr>
      <w:r w:rsidRPr="00CC7E28">
        <w:rPr>
          <w:b/>
          <w:bCs/>
          <w:color w:val="E46A56"/>
        </w:rPr>
        <w:t>Population density</w:t>
      </w:r>
      <w:r w:rsidR="0048245A">
        <w:t xml:space="preserve"> is the average number of people per square kilometre (km</w:t>
      </w:r>
      <w:r w:rsidR="0048245A" w:rsidRPr="003C63E3">
        <w:rPr>
          <w:vertAlign w:val="superscript"/>
        </w:rPr>
        <w:t>2</w:t>
      </w:r>
      <w:r w:rsidR="0048245A">
        <w:t>) in a country or region.</w:t>
      </w:r>
    </w:p>
    <w:p w14:paraId="06F00E81" w14:textId="0E0055CD" w:rsidR="00741FBE" w:rsidRDefault="00741FBE" w:rsidP="00D71F1D">
      <w:pPr>
        <w:pStyle w:val="UL01"/>
        <w:numPr>
          <w:ilvl w:val="0"/>
          <w:numId w:val="0"/>
        </w:numPr>
      </w:pPr>
      <w:r w:rsidRPr="00CC7E28">
        <w:rPr>
          <w:b/>
          <w:bCs/>
          <w:color w:val="E46A56"/>
        </w:rPr>
        <w:t>Population distribution</w:t>
      </w:r>
      <w:r w:rsidR="0048245A">
        <w:t xml:space="preserve"> is the way in which population </w:t>
      </w:r>
      <w:proofErr w:type="gramStart"/>
      <w:r w:rsidR="0048245A">
        <w:t>is spread out</w:t>
      </w:r>
      <w:proofErr w:type="gramEnd"/>
      <w:r w:rsidR="0048245A">
        <w:t xml:space="preserve"> over a given area, from a small region to the Earth as a whole.</w:t>
      </w:r>
    </w:p>
    <w:p w14:paraId="42693232" w14:textId="5577E31D" w:rsidR="00741FBE" w:rsidRDefault="00741FBE" w:rsidP="00D71F1D">
      <w:pPr>
        <w:pStyle w:val="UL01"/>
        <w:numPr>
          <w:ilvl w:val="0"/>
          <w:numId w:val="0"/>
        </w:numPr>
      </w:pPr>
      <w:r w:rsidRPr="00CC7E28">
        <w:rPr>
          <w:b/>
          <w:bCs/>
          <w:color w:val="E46A56"/>
        </w:rPr>
        <w:t>Population momentum</w:t>
      </w:r>
      <w:r w:rsidR="0048245A">
        <w:t xml:space="preserve"> is the tendency for population growth to continue beyond the time that replacement-level fertility </w:t>
      </w:r>
      <w:proofErr w:type="gramStart"/>
      <w:r w:rsidR="0048245A">
        <w:t>has been achieved</w:t>
      </w:r>
      <w:proofErr w:type="gramEnd"/>
      <w:r w:rsidR="0048245A">
        <w:t xml:space="preserve"> because of a relatively high concentration of people in the childbearing years. This situation is due to past high fertility rates, which result in a large number of young people.</w:t>
      </w:r>
    </w:p>
    <w:p w14:paraId="58B77F01" w14:textId="796B4EAA" w:rsidR="00741FBE" w:rsidRDefault="00741FBE" w:rsidP="00D71F1D">
      <w:pPr>
        <w:pStyle w:val="UL01"/>
        <w:numPr>
          <w:ilvl w:val="0"/>
          <w:numId w:val="0"/>
        </w:numPr>
      </w:pPr>
      <w:r w:rsidRPr="00CC7E28">
        <w:rPr>
          <w:b/>
          <w:bCs/>
          <w:color w:val="E46A56"/>
        </w:rPr>
        <w:t>Population projections</w:t>
      </w:r>
      <w:r w:rsidR="0048245A">
        <w:t xml:space="preserve"> predict the future population, based usually on current and past trends.</w:t>
      </w:r>
    </w:p>
    <w:p w14:paraId="12903736" w14:textId="5B4EF96F" w:rsidR="00741FBE" w:rsidRDefault="00741FBE" w:rsidP="00D71F1D">
      <w:pPr>
        <w:pStyle w:val="UL01"/>
        <w:numPr>
          <w:ilvl w:val="0"/>
          <w:numId w:val="0"/>
        </w:numPr>
      </w:pPr>
      <w:r w:rsidRPr="00CC7E28">
        <w:rPr>
          <w:b/>
          <w:bCs/>
          <w:color w:val="E46A56"/>
        </w:rPr>
        <w:t>Replacement level fertility</w:t>
      </w:r>
      <w:r w:rsidR="0048245A">
        <w:t xml:space="preserve"> is the level at which each generation has just enough children to replace themselves in the population. Although the level varies for different populations, a total fertility rate of 2.12 children </w:t>
      </w:r>
      <w:proofErr w:type="gramStart"/>
      <w:r w:rsidR="0048245A">
        <w:t>is usually considered</w:t>
      </w:r>
      <w:proofErr w:type="gramEnd"/>
      <w:r w:rsidR="0048245A">
        <w:t xml:space="preserve"> as replacement level.</w:t>
      </w:r>
    </w:p>
    <w:p w14:paraId="41A2D108" w14:textId="7117285F" w:rsidR="00741FBE" w:rsidRDefault="00741FBE" w:rsidP="00D71F1D">
      <w:pPr>
        <w:pStyle w:val="UL01"/>
        <w:numPr>
          <w:ilvl w:val="0"/>
          <w:numId w:val="0"/>
        </w:numPr>
      </w:pPr>
      <w:r w:rsidRPr="00CC7E28">
        <w:rPr>
          <w:b/>
          <w:bCs/>
          <w:color w:val="E46A56"/>
        </w:rPr>
        <w:t>Rural population</w:t>
      </w:r>
      <w:r w:rsidR="0048245A">
        <w:t xml:space="preserve"> describes those people living in the countryside in farms, isolated houses, hamlets and villages. Under some definitions, small market towns </w:t>
      </w:r>
      <w:proofErr w:type="gramStart"/>
      <w:r w:rsidR="0048245A">
        <w:t>are classed</w:t>
      </w:r>
      <w:proofErr w:type="gramEnd"/>
      <w:r w:rsidR="0048245A">
        <w:t xml:space="preserve"> as rural.</w:t>
      </w:r>
    </w:p>
    <w:p w14:paraId="1E3A0583" w14:textId="3A822F9C" w:rsidR="00741FBE" w:rsidRDefault="00741FBE" w:rsidP="00D71F1D">
      <w:pPr>
        <w:pStyle w:val="UL01"/>
        <w:numPr>
          <w:ilvl w:val="0"/>
          <w:numId w:val="0"/>
        </w:numPr>
      </w:pPr>
      <w:r w:rsidRPr="00CC7E28">
        <w:rPr>
          <w:b/>
          <w:bCs/>
          <w:color w:val="E46A56"/>
        </w:rPr>
        <w:t>Sparsely populated</w:t>
      </w:r>
      <w:r w:rsidR="0048245A">
        <w:t xml:space="preserve"> refers to regions with a low population density.</w:t>
      </w:r>
    </w:p>
    <w:p w14:paraId="55DBDF64" w14:textId="7C93EF46" w:rsidR="00402756" w:rsidRPr="00A34548" w:rsidRDefault="00741FBE" w:rsidP="00D71F1D">
      <w:pPr>
        <w:pStyle w:val="UL01"/>
        <w:numPr>
          <w:ilvl w:val="0"/>
          <w:numId w:val="0"/>
        </w:numPr>
        <w:rPr>
          <w:b/>
          <w:bCs/>
        </w:rPr>
      </w:pPr>
      <w:r w:rsidRPr="00CC7E28">
        <w:rPr>
          <w:b/>
          <w:bCs/>
          <w:color w:val="E46A56"/>
        </w:rPr>
        <w:lastRenderedPageBreak/>
        <w:t>Total fertility rate (TFR)</w:t>
      </w:r>
      <w:r w:rsidR="0048245A">
        <w:t xml:space="preserve"> is the average number of children that would be born alive to a woman (or group of women) during her lifetime, if she were to pass through her childbearing years conforming to the age-</w:t>
      </w:r>
      <w:bookmarkStart w:id="0" w:name="_GoBack"/>
      <w:bookmarkEnd w:id="0"/>
      <w:r w:rsidR="0048245A">
        <w:t>specific fertility rates of a given year.</w:t>
      </w:r>
    </w:p>
    <w:sectPr w:rsidR="00402756" w:rsidRPr="00A34548" w:rsidSect="00CA7860">
      <w:headerReference w:type="default" r:id="rId12"/>
      <w:footerReference w:type="default" r:id="rId13"/>
      <w:headerReference w:type="first" r:id="rId14"/>
      <w:footerReference w:type="first" r:id="rId15"/>
      <w:pgSz w:w="11900" w:h="16840"/>
      <w:pgMar w:top="2126" w:right="1134" w:bottom="1134" w:left="1134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3B09153" w14:textId="77777777" w:rsidR="00D54FA2" w:rsidRDefault="00D54FA2" w:rsidP="00392E8A">
      <w:pPr>
        <w:spacing w:after="0" w:line="240" w:lineRule="auto"/>
      </w:pPr>
      <w:r>
        <w:separator/>
      </w:r>
    </w:p>
  </w:endnote>
  <w:endnote w:type="continuationSeparator" w:id="0">
    <w:p w14:paraId="51C51884" w14:textId="77777777" w:rsidR="00D54FA2" w:rsidRDefault="00D54FA2" w:rsidP="00392E8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Bold">
    <w:altName w:val="Arial"/>
    <w:panose1 w:val="020B070402020202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F916B08" w14:textId="7AAABB0A" w:rsidR="00027EE9" w:rsidRPr="003701F2" w:rsidRDefault="00594121" w:rsidP="006312D6">
    <w:pPr>
      <w:pStyle w:val="Footer"/>
      <w:framePr w:wrap="around" w:vAnchor="text" w:hAnchor="margin" w:xAlign="right" w:y="1"/>
      <w:rPr>
        <w:rStyle w:val="PageNumber"/>
        <w:rFonts w:cstheme="minorHAnsi"/>
        <w:b w:val="0"/>
        <w:bCs/>
      </w:rPr>
    </w:pPr>
    <w:r w:rsidRPr="003701F2">
      <w:rPr>
        <w:rStyle w:val="PageNumber"/>
        <w:rFonts w:cstheme="minorHAnsi"/>
        <w:b w:val="0"/>
        <w:bCs/>
      </w:rPr>
      <w:fldChar w:fldCharType="begin"/>
    </w:r>
    <w:r w:rsidRPr="003701F2">
      <w:rPr>
        <w:rStyle w:val="PageNumber"/>
        <w:rFonts w:cstheme="minorHAnsi"/>
        <w:bCs/>
      </w:rPr>
      <w:instrText xml:space="preserve">PAGE  </w:instrText>
    </w:r>
    <w:r w:rsidRPr="003701F2">
      <w:rPr>
        <w:rStyle w:val="PageNumber"/>
        <w:rFonts w:cstheme="minorHAnsi"/>
        <w:b w:val="0"/>
        <w:bCs/>
      </w:rPr>
      <w:fldChar w:fldCharType="separate"/>
    </w:r>
    <w:r w:rsidR="003C63E3">
      <w:rPr>
        <w:rStyle w:val="PageNumber"/>
        <w:rFonts w:cstheme="minorHAnsi"/>
        <w:bCs/>
        <w:noProof/>
      </w:rPr>
      <w:t>3</w:t>
    </w:r>
    <w:r w:rsidRPr="003701F2">
      <w:rPr>
        <w:rStyle w:val="PageNumber"/>
        <w:rFonts w:cstheme="minorHAnsi"/>
        <w:b w:val="0"/>
        <w:bCs/>
      </w:rPr>
      <w:fldChar w:fldCharType="end"/>
    </w:r>
  </w:p>
  <w:p w14:paraId="38C40F7D" w14:textId="5CE48DAA" w:rsidR="00027EE9" w:rsidRPr="00025E2F" w:rsidRDefault="0055285E" w:rsidP="00025E2F">
    <w:pPr>
      <w:pStyle w:val="Footer"/>
    </w:pPr>
    <w:r>
      <w:rPr>
        <w:szCs w:val="18"/>
      </w:rPr>
      <w:t>Cambridge International AS &amp; A Level Geography</w:t>
    </w:r>
    <w:r w:rsidR="00D71F1D">
      <w:rPr>
        <w:szCs w:val="18"/>
      </w:rPr>
      <w:t xml:space="preserve"> Third edition</w:t>
    </w:r>
    <w:r w:rsidR="00025E2F" w:rsidRPr="00025E2F">
      <w:rPr>
        <w:szCs w:val="18"/>
      </w:rPr>
      <w:t xml:space="preserve"> © Hodder &amp; Stoughton Limited 202</w:t>
    </w:r>
    <w:r w:rsidR="0059545F">
      <w:rPr>
        <w:szCs w:val="18"/>
      </w:rPr>
      <w:t>5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23C7457" w14:textId="77777777" w:rsidR="004B3115" w:rsidRPr="003701F2" w:rsidRDefault="004B3115" w:rsidP="004B3115">
    <w:pPr>
      <w:pStyle w:val="Footer"/>
      <w:framePr w:wrap="around" w:vAnchor="text" w:hAnchor="margin" w:xAlign="right" w:y="1"/>
      <w:rPr>
        <w:rStyle w:val="PageNumber"/>
        <w:rFonts w:cstheme="minorHAnsi"/>
        <w:b w:val="0"/>
        <w:bCs/>
      </w:rPr>
    </w:pPr>
    <w:r w:rsidRPr="003701F2">
      <w:rPr>
        <w:rStyle w:val="PageNumber"/>
        <w:rFonts w:cstheme="minorHAnsi"/>
        <w:b w:val="0"/>
        <w:bCs/>
      </w:rPr>
      <w:fldChar w:fldCharType="begin"/>
    </w:r>
    <w:r w:rsidRPr="003701F2">
      <w:rPr>
        <w:rStyle w:val="PageNumber"/>
        <w:rFonts w:cstheme="minorHAnsi"/>
        <w:bCs/>
      </w:rPr>
      <w:instrText xml:space="preserve">PAGE  </w:instrText>
    </w:r>
    <w:r w:rsidRPr="003701F2">
      <w:rPr>
        <w:rStyle w:val="PageNumber"/>
        <w:rFonts w:cstheme="minorHAnsi"/>
        <w:b w:val="0"/>
        <w:bCs/>
      </w:rPr>
      <w:fldChar w:fldCharType="separate"/>
    </w:r>
    <w:r>
      <w:rPr>
        <w:rStyle w:val="PageNumber"/>
        <w:rFonts w:cstheme="minorHAnsi"/>
        <w:b w:val="0"/>
        <w:bCs/>
      </w:rPr>
      <w:t>2</w:t>
    </w:r>
    <w:r w:rsidRPr="003701F2">
      <w:rPr>
        <w:rStyle w:val="PageNumber"/>
        <w:rFonts w:cstheme="minorHAnsi"/>
        <w:b w:val="0"/>
        <w:bCs/>
      </w:rPr>
      <w:fldChar w:fldCharType="end"/>
    </w:r>
  </w:p>
  <w:p w14:paraId="6D3A2333" w14:textId="7932FF04" w:rsidR="00027EE9" w:rsidRPr="004B3115" w:rsidRDefault="004B3115" w:rsidP="004B3115">
    <w:pPr>
      <w:pStyle w:val="Footer"/>
    </w:pPr>
    <w:r w:rsidRPr="00094333">
      <w:rPr>
        <w:noProof/>
      </w:rPr>
      <w:t>Pearson Edexcel A Level US Government and Politics</w:t>
    </w:r>
    <w:r>
      <w:rPr>
        <w:noProof/>
      </w:rPr>
      <w:t xml:space="preserve"> © Hodder &amp; Stoughton Ltd 2021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F1AD855" w14:textId="77777777" w:rsidR="00D54FA2" w:rsidRDefault="00D54FA2" w:rsidP="00392E8A">
      <w:pPr>
        <w:spacing w:after="0" w:line="240" w:lineRule="auto"/>
      </w:pPr>
      <w:r>
        <w:separator/>
      </w:r>
    </w:p>
  </w:footnote>
  <w:footnote w:type="continuationSeparator" w:id="0">
    <w:p w14:paraId="3429C731" w14:textId="77777777" w:rsidR="00D54FA2" w:rsidRDefault="00D54FA2" w:rsidP="00392E8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C011B45" w14:textId="6983DB68" w:rsidR="00392E8A" w:rsidRPr="00233A1B" w:rsidRDefault="00100D33" w:rsidP="00233A1B">
    <w:pPr>
      <w:pStyle w:val="H01"/>
      <w:ind w:left="1134"/>
      <w:rPr>
        <w:color w:val="FFFFFF" w:themeColor="background1"/>
        <w:sz w:val="28"/>
        <w:szCs w:val="28"/>
      </w:rPr>
    </w:pPr>
    <w:r w:rsidRPr="00233A1B">
      <w:rPr>
        <w:noProof/>
        <w:color w:val="FFFFFF" w:themeColor="background1"/>
        <w:sz w:val="28"/>
        <w:szCs w:val="28"/>
        <w:lang w:eastAsia="en-GB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1ADE10DF" wp14:editId="60DD8C32">
              <wp:simplePos x="0" y="0"/>
              <wp:positionH relativeFrom="column">
                <wp:posOffset>-419548</wp:posOffset>
              </wp:positionH>
              <wp:positionV relativeFrom="paragraph">
                <wp:posOffset>-148404</wp:posOffset>
              </wp:positionV>
              <wp:extent cx="900000" cy="900000"/>
              <wp:effectExtent l="38100" t="38100" r="128905" b="141605"/>
              <wp:wrapNone/>
              <wp:docPr id="1" name="Oval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900000" cy="900000"/>
                      </a:xfrm>
                      <a:prstGeom prst="ellipse">
                        <a:avLst/>
                      </a:prstGeom>
                      <a:solidFill>
                        <a:schemeClr val="accent1"/>
                      </a:solidFill>
                      <a:ln w="63500">
                        <a:solidFill>
                          <a:schemeClr val="bg1"/>
                        </a:solidFill>
                      </a:ln>
                      <a:effectLst>
                        <a:outerShdw blurRad="50800" dist="63500" dir="2700000" algn="tl" rotWithShape="0">
                          <a:prstClr val="black">
                            <a:alpha val="20000"/>
                          </a:prstClr>
                        </a:outerShdw>
                      </a:effectLst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oval w14:anchorId="36919AC1" id="Oval 1" o:spid="_x0000_s1026" style="position:absolute;margin-left:-33.05pt;margin-top:-11.7pt;width:70.85pt;height:70.8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" fillcolor="#4472c4 [3204]" strokecolor="white [3212]" strokeweight="5pt">
              <v:stroke joinstyle="miter"/>
              <v:shadow on="t" color="black" opacity="13107f" origin="-.5,-.5" offset="1.24725mm,1.24725mm"/>
            </v:oval>
          </w:pict>
        </mc:Fallback>
      </mc:AlternateContent>
    </w:r>
    <w:r w:rsidR="005E723E" w:rsidRPr="00233A1B">
      <w:rPr>
        <w:noProof/>
        <w:color w:val="FFFFFF" w:themeColor="background1"/>
        <w:sz w:val="28"/>
        <w:szCs w:val="28"/>
        <w:lang w:eastAsia="en-GB"/>
      </w:rPr>
      <mc:AlternateContent>
        <mc:Choice Requires="wps">
          <w:drawing>
            <wp:anchor distT="0" distB="0" distL="114300" distR="114300" simplePos="0" relativeHeight="251654144" behindDoc="1" locked="0" layoutInCell="1" allowOverlap="1" wp14:anchorId="2438ADF2" wp14:editId="18BFBD4F">
              <wp:simplePos x="0" y="0"/>
              <wp:positionH relativeFrom="page">
                <wp:align>left</wp:align>
              </wp:positionH>
              <wp:positionV relativeFrom="page">
                <wp:align>top</wp:align>
              </wp:positionV>
              <wp:extent cx="7560000" cy="900000"/>
              <wp:effectExtent l="0" t="0" r="0" b="1905"/>
              <wp:wrapNone/>
              <wp:docPr id="3" name="Rectangl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60000" cy="900000"/>
                      </a:xfrm>
                      <a:prstGeom prst="rect">
                        <a:avLst/>
                      </a:prstGeom>
                      <a:solidFill>
                        <a:srgbClr val="17265D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rect w14:anchorId="1C42C41A" id="Rectangle 3" o:spid="_x0000_s1026" style="position:absolute;margin-left:0;margin-top:0;width:595.3pt;height:70.85pt;z-index:-251662336;visibility:visible;mso-wrap-style:square;mso-width-percent:0;mso-height-percent:0;mso-wrap-distance-left:9pt;mso-wrap-distance-top:0;mso-wrap-distance-right:9pt;mso-wrap-distance-bottom:0;mso-position-horizontal:left;mso-position-horizontal-relative:page;mso-position-vertical:top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" fillcolor="#17265d" stroked="f" strokeweight="1pt">
              <w10:wrap anchorx="page" anchory="page"/>
            </v:rect>
          </w:pict>
        </mc:Fallback>
      </mc:AlternateContent>
    </w:r>
    <w:r w:rsidR="00233A1B" w:rsidRPr="00233A1B">
      <w:rPr>
        <w:noProof/>
        <w:color w:val="FFFFFF" w:themeColor="background1"/>
        <w:sz w:val="28"/>
        <w:szCs w:val="28"/>
      </w:rPr>
      <w:t>Cambridge International AS &amp; A Level Geography Third edition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0ECACA0" w14:textId="77777777" w:rsidR="004B3115" w:rsidRPr="00094333" w:rsidRDefault="004B3115" w:rsidP="00233A1B">
    <w:pPr>
      <w:pStyle w:val="H01"/>
    </w:pPr>
    <w:r>
      <w:rPr>
        <w:noProof/>
        <w:lang w:eastAsia="en-GB"/>
      </w:rPr>
      <w:drawing>
        <wp:anchor distT="0" distB="0" distL="114300" distR="114300" simplePos="0" relativeHeight="251658240" behindDoc="0" locked="0" layoutInCell="1" allowOverlap="1" wp14:anchorId="02A73DFC" wp14:editId="6501A770">
          <wp:simplePos x="0" y="0"/>
          <wp:positionH relativeFrom="column">
            <wp:posOffset>-527539</wp:posOffset>
          </wp:positionH>
          <wp:positionV relativeFrom="paragraph">
            <wp:posOffset>-202223</wp:posOffset>
          </wp:positionV>
          <wp:extent cx="1080000" cy="1080000"/>
          <wp:effectExtent l="63500" t="63500" r="152400" b="152400"/>
          <wp:wrapNone/>
          <wp:docPr id="6" name="Picture 6" descr="A picture containing building, outdoor, sky, government building&#10;&#10;Description automatically generated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Picture 4" descr="A picture containing building, outdoor, sky, government building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80000" cy="1080000"/>
                  </a:xfrm>
                  <a:prstGeom prst="ellipse">
                    <a:avLst/>
                  </a:prstGeom>
                  <a:ln w="63500" cap="rnd">
                    <a:solidFill>
                      <a:schemeClr val="bg1"/>
                    </a:solidFill>
                  </a:ln>
                  <a:effectLst>
                    <a:outerShdw blurRad="50800" dist="63500" dir="2700000" algn="tl" rotWithShape="0">
                      <a:prstClr val="black">
                        <a:alpha val="20000"/>
                      </a:prstClr>
                    </a:outerShdw>
                  </a:effectLst>
                  <a:scene3d>
                    <a:camera prst="orthographicFront"/>
                    <a:lightRig rig="contrasting" dir="t">
                      <a:rot lat="0" lon="0" rev="3000000"/>
                    </a:lightRig>
                  </a:scene3d>
                  <a:sp3d contourW="7620">
                    <a:bevelT w="95250" h="31750"/>
                    <a:contourClr>
                      <a:srgbClr val="333333"/>
                    </a:contourClr>
                  </a:sp3d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094333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57216" behindDoc="1" locked="0" layoutInCell="1" allowOverlap="1" wp14:anchorId="0B816B0E" wp14:editId="7EF4A9C3">
              <wp:simplePos x="0" y="0"/>
              <wp:positionH relativeFrom="page">
                <wp:align>left</wp:align>
              </wp:positionH>
              <wp:positionV relativeFrom="page">
                <wp:align>top</wp:align>
              </wp:positionV>
              <wp:extent cx="7560000" cy="900000"/>
              <wp:effectExtent l="0" t="0" r="0" b="1905"/>
              <wp:wrapNone/>
              <wp:docPr id="5" name="Rectangle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60000" cy="900000"/>
                      </a:xfrm>
                      <a:prstGeom prst="rect">
                        <a:avLst/>
                      </a:prstGeom>
                      <a:solidFill>
                        <a:srgbClr val="17265D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rect w14:anchorId="6BFE0C03" id="Rectangle 5" o:spid="_x0000_s1026" style="position:absolute;margin-left:0;margin-top:0;width:595.3pt;height:70.85pt;z-index:-251659264;visibility:visible;mso-wrap-style:square;mso-width-percent:0;mso-height-percent:0;mso-wrap-distance-left:9pt;mso-wrap-distance-top:0;mso-wrap-distance-right:9pt;mso-wrap-distance-bottom:0;mso-position-horizontal:left;mso-position-horizontal-relative:page;mso-position-vertical:top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" fillcolor="#17265d" stroked="f" strokeweight="1pt">
              <w10:wrap anchorx="page" anchory="page"/>
            </v:rect>
          </w:pict>
        </mc:Fallback>
      </mc:AlternateContent>
    </w:r>
    <w:r w:rsidRPr="00094333">
      <w:t>Pearson Edexcel A Level US Government and Politics</w:t>
    </w:r>
  </w:p>
  <w:p w14:paraId="2468F6B0" w14:textId="175EF514" w:rsidR="00027EE9" w:rsidRPr="004B3115" w:rsidRDefault="00027EE9" w:rsidP="004B3115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613234"/>
    <w:multiLevelType w:val="hybridMultilevel"/>
    <w:tmpl w:val="7BA6FAFA"/>
    <w:lvl w:ilvl="0" w:tplc="7E6427B0">
      <w:start w:val="1"/>
      <w:numFmt w:val="bullet"/>
      <w:pStyle w:val="USL01"/>
      <w:lvlText w:val="o"/>
      <w:lvlJc w:val="left"/>
      <w:pPr>
        <w:ind w:left="680" w:hanging="680"/>
      </w:pPr>
      <w:rPr>
        <w:rFonts w:ascii="Courier New" w:hAnsi="Courier New" w:hint="default"/>
        <w:color w:val="E46A5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38138E6"/>
    <w:multiLevelType w:val="hybridMultilevel"/>
    <w:tmpl w:val="2A288778"/>
    <w:lvl w:ilvl="0" w:tplc="031EE46A">
      <w:start w:val="1"/>
      <w:numFmt w:val="decimal"/>
      <w:pStyle w:val="03NumberList"/>
      <w:lvlText w:val="%1"/>
      <w:lvlJc w:val="left"/>
      <w:pPr>
        <w:ind w:left="360" w:hanging="360"/>
      </w:pPr>
      <w:rPr>
        <w:rFonts w:ascii="Arial Bold" w:hAnsi="Arial Bold" w:hint="default"/>
        <w:b/>
        <w:bCs/>
        <w:i w:val="0"/>
        <w:iCs w:val="0"/>
        <w:color w:val="009089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F36391F"/>
    <w:multiLevelType w:val="hybridMultilevel"/>
    <w:tmpl w:val="6DE0C95C"/>
    <w:lvl w:ilvl="0" w:tplc="5AE2F34C">
      <w:start w:val="1"/>
      <w:numFmt w:val="bullet"/>
      <w:pStyle w:val="UL01"/>
      <w:lvlText w:val=""/>
      <w:lvlJc w:val="left"/>
      <w:pPr>
        <w:ind w:left="340" w:hanging="340"/>
      </w:pPr>
      <w:rPr>
        <w:rFonts w:ascii="Symbol" w:hAnsi="Symbol" w:hint="default"/>
        <w:color w:val="E46A56"/>
        <w:sz w:val="28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6"/>
  <w:proofState w:spelling="clean" w:grammar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92E8A"/>
    <w:rsid w:val="00001654"/>
    <w:rsid w:val="00005831"/>
    <w:rsid w:val="00011330"/>
    <w:rsid w:val="00025E2F"/>
    <w:rsid w:val="00027EE9"/>
    <w:rsid w:val="000453AD"/>
    <w:rsid w:val="00076F6B"/>
    <w:rsid w:val="000878E9"/>
    <w:rsid w:val="00094333"/>
    <w:rsid w:val="000A5177"/>
    <w:rsid w:val="00100D33"/>
    <w:rsid w:val="00166974"/>
    <w:rsid w:val="00176BAE"/>
    <w:rsid w:val="00193B91"/>
    <w:rsid w:val="001967E8"/>
    <w:rsid w:val="001B1855"/>
    <w:rsid w:val="001B53B9"/>
    <w:rsid w:val="001B6087"/>
    <w:rsid w:val="001E2004"/>
    <w:rsid w:val="002168E8"/>
    <w:rsid w:val="00233A1B"/>
    <w:rsid w:val="0024139E"/>
    <w:rsid w:val="00245ACC"/>
    <w:rsid w:val="00261649"/>
    <w:rsid w:val="002A137C"/>
    <w:rsid w:val="002C0264"/>
    <w:rsid w:val="00315177"/>
    <w:rsid w:val="0032796E"/>
    <w:rsid w:val="0033453F"/>
    <w:rsid w:val="00337731"/>
    <w:rsid w:val="0034393E"/>
    <w:rsid w:val="00360795"/>
    <w:rsid w:val="003701F2"/>
    <w:rsid w:val="00376211"/>
    <w:rsid w:val="00392E8A"/>
    <w:rsid w:val="0039467B"/>
    <w:rsid w:val="003C63E3"/>
    <w:rsid w:val="003E3089"/>
    <w:rsid w:val="00402756"/>
    <w:rsid w:val="00405DB0"/>
    <w:rsid w:val="00416F56"/>
    <w:rsid w:val="00466F0A"/>
    <w:rsid w:val="0048245A"/>
    <w:rsid w:val="00483D4E"/>
    <w:rsid w:val="00491E9B"/>
    <w:rsid w:val="004B3115"/>
    <w:rsid w:val="00501A6F"/>
    <w:rsid w:val="0055285E"/>
    <w:rsid w:val="005765BA"/>
    <w:rsid w:val="00594121"/>
    <w:rsid w:val="0059545F"/>
    <w:rsid w:val="005C6600"/>
    <w:rsid w:val="005E723E"/>
    <w:rsid w:val="005F589F"/>
    <w:rsid w:val="006113F9"/>
    <w:rsid w:val="00632A0F"/>
    <w:rsid w:val="006532DC"/>
    <w:rsid w:val="00661F12"/>
    <w:rsid w:val="006704AC"/>
    <w:rsid w:val="006748FC"/>
    <w:rsid w:val="006B0022"/>
    <w:rsid w:val="006F1AB2"/>
    <w:rsid w:val="007117B3"/>
    <w:rsid w:val="00711D57"/>
    <w:rsid w:val="00714EC6"/>
    <w:rsid w:val="00730DEC"/>
    <w:rsid w:val="00737AD3"/>
    <w:rsid w:val="00741FBE"/>
    <w:rsid w:val="00752C38"/>
    <w:rsid w:val="00762EFD"/>
    <w:rsid w:val="00762FEC"/>
    <w:rsid w:val="007673DD"/>
    <w:rsid w:val="00786DC2"/>
    <w:rsid w:val="007950E1"/>
    <w:rsid w:val="007F6478"/>
    <w:rsid w:val="007F7B92"/>
    <w:rsid w:val="00833BA5"/>
    <w:rsid w:val="008B3A49"/>
    <w:rsid w:val="008D0599"/>
    <w:rsid w:val="0090442E"/>
    <w:rsid w:val="00930748"/>
    <w:rsid w:val="00934877"/>
    <w:rsid w:val="00952A60"/>
    <w:rsid w:val="00965464"/>
    <w:rsid w:val="00973226"/>
    <w:rsid w:val="0097560B"/>
    <w:rsid w:val="0098356D"/>
    <w:rsid w:val="009C4F7A"/>
    <w:rsid w:val="00A15F2D"/>
    <w:rsid w:val="00A34548"/>
    <w:rsid w:val="00A81871"/>
    <w:rsid w:val="00A8706F"/>
    <w:rsid w:val="00AA5F16"/>
    <w:rsid w:val="00AC7692"/>
    <w:rsid w:val="00AF2BD8"/>
    <w:rsid w:val="00B02CC9"/>
    <w:rsid w:val="00B14367"/>
    <w:rsid w:val="00B17522"/>
    <w:rsid w:val="00B70B77"/>
    <w:rsid w:val="00B96B1A"/>
    <w:rsid w:val="00BA011F"/>
    <w:rsid w:val="00BB0BDE"/>
    <w:rsid w:val="00BB15A1"/>
    <w:rsid w:val="00BB1D6B"/>
    <w:rsid w:val="00C1053F"/>
    <w:rsid w:val="00C129DD"/>
    <w:rsid w:val="00C413E7"/>
    <w:rsid w:val="00C43914"/>
    <w:rsid w:val="00C45E11"/>
    <w:rsid w:val="00C92F07"/>
    <w:rsid w:val="00C96600"/>
    <w:rsid w:val="00CA7860"/>
    <w:rsid w:val="00CB122F"/>
    <w:rsid w:val="00CB394D"/>
    <w:rsid w:val="00CC5CD2"/>
    <w:rsid w:val="00CC7E28"/>
    <w:rsid w:val="00D1645F"/>
    <w:rsid w:val="00D17943"/>
    <w:rsid w:val="00D354CC"/>
    <w:rsid w:val="00D54FA2"/>
    <w:rsid w:val="00D650DD"/>
    <w:rsid w:val="00D71F1D"/>
    <w:rsid w:val="00D74081"/>
    <w:rsid w:val="00D869EA"/>
    <w:rsid w:val="00D876CC"/>
    <w:rsid w:val="00DA0B8E"/>
    <w:rsid w:val="00DB5160"/>
    <w:rsid w:val="00DF6A6A"/>
    <w:rsid w:val="00E4508B"/>
    <w:rsid w:val="00E468A5"/>
    <w:rsid w:val="00E63B23"/>
    <w:rsid w:val="00E669BB"/>
    <w:rsid w:val="00E7103A"/>
    <w:rsid w:val="00E76FC6"/>
    <w:rsid w:val="00E94865"/>
    <w:rsid w:val="00EC0E81"/>
    <w:rsid w:val="00EF26C1"/>
    <w:rsid w:val="00F07F4D"/>
    <w:rsid w:val="00F40C44"/>
    <w:rsid w:val="00F7546C"/>
    <w:rsid w:val="00FB053F"/>
    <w:rsid w:val="00FD2C15"/>
    <w:rsid w:val="00FE2451"/>
    <w:rsid w:val="00FE79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53DA580A"/>
  <w15:docId w15:val="{BEF9DB32-3D4E-A343-AF98-9CF2D08AF3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92E8A"/>
    <w:pPr>
      <w:spacing w:after="120" w:line="264" w:lineRule="auto"/>
    </w:pPr>
    <w:rPr>
      <w:rFonts w:ascii="Arial" w:hAnsi="Arial" w:cs="Arial"/>
      <w:sz w:val="22"/>
      <w:szCs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416F56"/>
    <w:pPr>
      <w:keepNext/>
      <w:keepLines/>
      <w:spacing w:before="240" w:after="0" w:line="259" w:lineRule="auto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H02">
    <w:name w:val="H02"/>
    <w:qFormat/>
    <w:rsid w:val="00BA011F"/>
    <w:pPr>
      <w:spacing w:before="360" w:after="40"/>
    </w:pPr>
    <w:rPr>
      <w:rFonts w:ascii="Arial" w:eastAsia="Times New Roman" w:hAnsi="Arial" w:cs="Times New Roman"/>
      <w:b/>
      <w:bCs/>
      <w:color w:val="174A7F"/>
      <w:sz w:val="36"/>
      <w:szCs w:val="36"/>
    </w:rPr>
  </w:style>
  <w:style w:type="paragraph" w:customStyle="1" w:styleId="USL01">
    <w:name w:val="USL01"/>
    <w:basedOn w:val="UL01"/>
    <w:qFormat/>
    <w:rsid w:val="00973226"/>
    <w:pPr>
      <w:numPr>
        <w:numId w:val="2"/>
      </w:numPr>
      <w:ind w:hanging="340"/>
    </w:pPr>
  </w:style>
  <w:style w:type="paragraph" w:customStyle="1" w:styleId="HA">
    <w:name w:val="HA"/>
    <w:qFormat/>
    <w:rsid w:val="007950E1"/>
    <w:pPr>
      <w:pBdr>
        <w:bottom w:val="single" w:sz="12" w:space="3" w:color="174A7F"/>
      </w:pBdr>
      <w:spacing w:before="360" w:after="120"/>
    </w:pPr>
    <w:rPr>
      <w:rFonts w:ascii="Arial" w:eastAsia="Times New Roman" w:hAnsi="Arial" w:cs="Times New Roman"/>
      <w:b/>
      <w:bCs/>
      <w:color w:val="174A7F"/>
      <w:sz w:val="28"/>
      <w:szCs w:val="36"/>
    </w:rPr>
  </w:style>
  <w:style w:type="paragraph" w:customStyle="1" w:styleId="UL01">
    <w:name w:val="UL01"/>
    <w:basedOn w:val="BT01"/>
    <w:qFormat/>
    <w:rsid w:val="00466F0A"/>
    <w:pPr>
      <w:numPr>
        <w:numId w:val="1"/>
      </w:numPr>
      <w:spacing w:before="40"/>
    </w:pPr>
    <w:rPr>
      <w:szCs w:val="20"/>
    </w:rPr>
  </w:style>
  <w:style w:type="paragraph" w:customStyle="1" w:styleId="H01">
    <w:name w:val="H01"/>
    <w:qFormat/>
    <w:rsid w:val="00233A1B"/>
    <w:pPr>
      <w:jc w:val="both"/>
    </w:pPr>
    <w:rPr>
      <w:rFonts w:ascii="Arial" w:hAnsi="Arial" w:cs="Arial"/>
      <w:b/>
      <w:sz w:val="32"/>
      <w:szCs w:val="22"/>
    </w:rPr>
  </w:style>
  <w:style w:type="paragraph" w:customStyle="1" w:styleId="H03">
    <w:name w:val="H03"/>
    <w:qFormat/>
    <w:rsid w:val="00BA011F"/>
    <w:pPr>
      <w:spacing w:before="120" w:after="40"/>
    </w:pPr>
    <w:rPr>
      <w:rFonts w:ascii="Arial" w:eastAsia="Times New Roman" w:hAnsi="Arial" w:cs="Times New Roman"/>
      <w:color w:val="174A7F"/>
      <w:sz w:val="32"/>
      <w:szCs w:val="32"/>
    </w:rPr>
  </w:style>
  <w:style w:type="paragraph" w:styleId="Footer">
    <w:name w:val="footer"/>
    <w:link w:val="FooterChar"/>
    <w:uiPriority w:val="99"/>
    <w:unhideWhenUsed/>
    <w:rsid w:val="00094333"/>
    <w:rPr>
      <w:rFonts w:ascii="Arial" w:hAnsi="Arial" w:cs="Arial"/>
      <w:sz w:val="18"/>
      <w:szCs w:val="22"/>
    </w:rPr>
  </w:style>
  <w:style w:type="character" w:customStyle="1" w:styleId="FooterChar">
    <w:name w:val="Footer Char"/>
    <w:basedOn w:val="DefaultParagraphFont"/>
    <w:link w:val="Footer"/>
    <w:uiPriority w:val="99"/>
    <w:rsid w:val="00094333"/>
    <w:rPr>
      <w:rFonts w:ascii="Arial" w:hAnsi="Arial" w:cs="Arial"/>
      <w:sz w:val="18"/>
      <w:szCs w:val="22"/>
    </w:rPr>
  </w:style>
  <w:style w:type="character" w:styleId="PageNumber">
    <w:name w:val="page number"/>
    <w:basedOn w:val="DefaultParagraphFont"/>
    <w:uiPriority w:val="99"/>
    <w:unhideWhenUsed/>
    <w:rsid w:val="00094333"/>
    <w:rPr>
      <w:rFonts w:asciiTheme="minorHAnsi" w:hAnsiTheme="minorHAnsi"/>
      <w:b/>
      <w:sz w:val="22"/>
    </w:rPr>
  </w:style>
  <w:style w:type="paragraph" w:customStyle="1" w:styleId="HB">
    <w:name w:val="HB"/>
    <w:basedOn w:val="Normal"/>
    <w:qFormat/>
    <w:rsid w:val="007950E1"/>
    <w:pPr>
      <w:spacing w:before="120" w:after="40" w:line="240" w:lineRule="auto"/>
    </w:pPr>
    <w:rPr>
      <w:b/>
      <w:color w:val="000000" w:themeColor="text1"/>
      <w:sz w:val="24"/>
    </w:rPr>
  </w:style>
  <w:style w:type="paragraph" w:customStyle="1" w:styleId="BT01">
    <w:name w:val="BT01"/>
    <w:qFormat/>
    <w:rsid w:val="00BA011F"/>
    <w:pPr>
      <w:spacing w:before="120"/>
    </w:pPr>
    <w:rPr>
      <w:rFonts w:cs="Arial"/>
      <w:sz w:val="22"/>
      <w:szCs w:val="22"/>
    </w:rPr>
  </w:style>
  <w:style w:type="paragraph" w:customStyle="1" w:styleId="BT01First">
    <w:name w:val="BT01 First"/>
    <w:basedOn w:val="BT01"/>
    <w:qFormat/>
    <w:rsid w:val="00BA011F"/>
    <w:pPr>
      <w:spacing w:before="0"/>
    </w:pPr>
  </w:style>
  <w:style w:type="paragraph" w:customStyle="1" w:styleId="OL01">
    <w:name w:val="OL01"/>
    <w:basedOn w:val="BT01"/>
    <w:qFormat/>
    <w:rsid w:val="00973226"/>
    <w:pPr>
      <w:ind w:left="340" w:hanging="340"/>
    </w:pPr>
    <w:rPr>
      <w:rFonts w:cstheme="minorHAnsi"/>
    </w:rPr>
  </w:style>
  <w:style w:type="character" w:customStyle="1" w:styleId="OL01Numeral">
    <w:name w:val="OL01 Numeral"/>
    <w:basedOn w:val="DefaultParagraphFont"/>
    <w:uiPriority w:val="1"/>
    <w:qFormat/>
    <w:rsid w:val="007950E1"/>
    <w:rPr>
      <w:b/>
      <w:color w:val="E46A56"/>
    </w:rPr>
  </w:style>
  <w:style w:type="table" w:styleId="TableGrid">
    <w:name w:val="Table Grid"/>
    <w:basedOn w:val="TableNormal"/>
    <w:uiPriority w:val="39"/>
    <w:rsid w:val="005765B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TB01TBA">
    <w:name w:val="CTB01 TBA"/>
    <w:qFormat/>
    <w:rsid w:val="005765BA"/>
    <w:rPr>
      <w:rFonts w:cs="Arial"/>
      <w:b/>
      <w:color w:val="FFFFFF" w:themeColor="background1"/>
      <w:sz w:val="22"/>
      <w:szCs w:val="22"/>
    </w:rPr>
  </w:style>
  <w:style w:type="paragraph" w:customStyle="1" w:styleId="CTB01BT01">
    <w:name w:val="CTB01 BT01"/>
    <w:qFormat/>
    <w:rsid w:val="005765BA"/>
    <w:rPr>
      <w:rFonts w:cs="Arial"/>
      <w:color w:val="000000" w:themeColor="text1"/>
      <w:sz w:val="22"/>
      <w:szCs w:val="22"/>
    </w:rPr>
  </w:style>
  <w:style w:type="paragraph" w:customStyle="1" w:styleId="OSL01">
    <w:name w:val="OSL01"/>
    <w:basedOn w:val="OL01"/>
    <w:qFormat/>
    <w:rsid w:val="00632A0F"/>
    <w:pPr>
      <w:spacing w:before="40"/>
      <w:ind w:left="680"/>
    </w:pPr>
  </w:style>
  <w:style w:type="paragraph" w:customStyle="1" w:styleId="OL01Merged">
    <w:name w:val="OL01 Merged"/>
    <w:basedOn w:val="OL01"/>
    <w:qFormat/>
    <w:rsid w:val="00632A0F"/>
    <w:pPr>
      <w:tabs>
        <w:tab w:val="left" w:pos="340"/>
      </w:tabs>
      <w:ind w:left="680" w:hanging="680"/>
    </w:pPr>
  </w:style>
  <w:style w:type="character" w:customStyle="1" w:styleId="Heading1Char">
    <w:name w:val="Heading 1 Char"/>
    <w:basedOn w:val="DefaultParagraphFont"/>
    <w:link w:val="Heading1"/>
    <w:uiPriority w:val="9"/>
    <w:rsid w:val="00416F56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er">
    <w:name w:val="header"/>
    <w:basedOn w:val="Normal"/>
    <w:link w:val="HeaderChar"/>
    <w:uiPriority w:val="99"/>
    <w:unhideWhenUsed/>
    <w:rsid w:val="00C45E11"/>
    <w:pPr>
      <w:tabs>
        <w:tab w:val="center" w:pos="4513"/>
        <w:tab w:val="right" w:pos="9026"/>
      </w:tabs>
      <w:spacing w:after="0" w:line="240" w:lineRule="auto"/>
    </w:pPr>
    <w:rPr>
      <w:rFonts w:asciiTheme="minorHAnsi" w:hAnsiTheme="minorHAnsi" w:cstheme="minorBidi"/>
    </w:rPr>
  </w:style>
  <w:style w:type="character" w:customStyle="1" w:styleId="HeaderChar">
    <w:name w:val="Header Char"/>
    <w:basedOn w:val="DefaultParagraphFont"/>
    <w:link w:val="Header"/>
    <w:uiPriority w:val="99"/>
    <w:rsid w:val="00C45E11"/>
    <w:rPr>
      <w:sz w:val="22"/>
      <w:szCs w:val="22"/>
    </w:rPr>
  </w:style>
  <w:style w:type="paragraph" w:customStyle="1" w:styleId="Activitytext">
    <w:name w:val="Activity text"/>
    <w:qFormat/>
    <w:rsid w:val="00C45E11"/>
    <w:pPr>
      <w:spacing w:before="120" w:line="480" w:lineRule="auto"/>
    </w:pPr>
    <w:rPr>
      <w:rFonts w:cs="Arial"/>
      <w:bCs/>
      <w:sz w:val="22"/>
      <w:szCs w:val="22"/>
    </w:rPr>
  </w:style>
  <w:style w:type="paragraph" w:customStyle="1" w:styleId="AnswerLine">
    <w:name w:val="Answer Line"/>
    <w:qFormat/>
    <w:rsid w:val="00166974"/>
    <w:pPr>
      <w:pBdr>
        <w:bottom w:val="single" w:sz="8" w:space="1" w:color="000000" w:themeColor="text1"/>
        <w:between w:val="single" w:sz="8" w:space="1" w:color="000000" w:themeColor="text1"/>
      </w:pBdr>
      <w:spacing w:before="240"/>
    </w:pPr>
    <w:rPr>
      <w:rFonts w:cs="Arial"/>
      <w:sz w:val="22"/>
      <w:szCs w:val="22"/>
    </w:rPr>
  </w:style>
  <w:style w:type="paragraph" w:customStyle="1" w:styleId="02BHead">
    <w:name w:val="02 B Head"/>
    <w:qFormat/>
    <w:rsid w:val="005C6600"/>
    <w:pPr>
      <w:spacing w:before="240"/>
    </w:pPr>
    <w:rPr>
      <w:rFonts w:ascii="Arial" w:eastAsia="Times New Roman" w:hAnsi="Arial" w:cs="Times New Roman"/>
      <w:color w:val="CC6600"/>
      <w:sz w:val="36"/>
      <w:lang w:val="es-ES"/>
    </w:rPr>
  </w:style>
  <w:style w:type="paragraph" w:customStyle="1" w:styleId="03BodyText">
    <w:name w:val="03 Body Text"/>
    <w:qFormat/>
    <w:rsid w:val="005C6600"/>
    <w:pPr>
      <w:tabs>
        <w:tab w:val="left" w:pos="1701"/>
      </w:tabs>
      <w:spacing w:before="120" w:line="264" w:lineRule="auto"/>
    </w:pPr>
    <w:rPr>
      <w:rFonts w:ascii="Times New Roman" w:eastAsia="Calibri" w:hAnsi="Times New Roman" w:cs="Times New Roman"/>
      <w:lang w:val="es-ES_tradnl"/>
    </w:rPr>
  </w:style>
  <w:style w:type="paragraph" w:customStyle="1" w:styleId="03NumberList">
    <w:name w:val="03 Number List"/>
    <w:basedOn w:val="Normal"/>
    <w:qFormat/>
    <w:rsid w:val="005C6600"/>
    <w:pPr>
      <w:numPr>
        <w:numId w:val="3"/>
      </w:numPr>
      <w:spacing w:after="0"/>
    </w:pPr>
    <w:rPr>
      <w:rFonts w:ascii="Times New Roman" w:eastAsia="Calibri" w:hAnsi="Times New Roman" w:cs="Times New Roman"/>
      <w:szCs w:val="24"/>
      <w:lang w:val="en-US"/>
    </w:rPr>
  </w:style>
  <w:style w:type="paragraph" w:styleId="ListParagraph">
    <w:name w:val="List Paragraph"/>
    <w:basedOn w:val="Normal"/>
    <w:uiPriority w:val="1"/>
    <w:qFormat/>
    <w:rsid w:val="005C6600"/>
    <w:pPr>
      <w:spacing w:after="160" w:line="259" w:lineRule="auto"/>
      <w:ind w:left="720"/>
      <w:contextualSpacing/>
    </w:pPr>
    <w:rPr>
      <w:rFonts w:asciiTheme="minorHAnsi" w:hAnsiTheme="minorHAnsi" w:cstheme="minorBidi"/>
    </w:rPr>
  </w:style>
  <w:style w:type="paragraph" w:styleId="BodyText">
    <w:name w:val="Body Text"/>
    <w:basedOn w:val="Normal"/>
    <w:link w:val="BodyTextChar"/>
    <w:uiPriority w:val="1"/>
    <w:qFormat/>
    <w:rsid w:val="00A81871"/>
    <w:pPr>
      <w:widowControl w:val="0"/>
      <w:autoSpaceDE w:val="0"/>
      <w:autoSpaceDN w:val="0"/>
      <w:spacing w:after="0" w:line="240" w:lineRule="auto"/>
      <w:ind w:left="360"/>
    </w:pPr>
    <w:rPr>
      <w:rFonts w:ascii="Bookman Old Style" w:eastAsia="Bookman Old Style" w:hAnsi="Bookman Old Style" w:cs="Bookman Old Style"/>
      <w:sz w:val="19"/>
      <w:szCs w:val="19"/>
      <w:lang w:val="en-US"/>
    </w:rPr>
  </w:style>
  <w:style w:type="character" w:customStyle="1" w:styleId="BodyTextChar">
    <w:name w:val="Body Text Char"/>
    <w:basedOn w:val="DefaultParagraphFont"/>
    <w:link w:val="BodyText"/>
    <w:uiPriority w:val="1"/>
    <w:rsid w:val="00A81871"/>
    <w:rPr>
      <w:rFonts w:ascii="Bookman Old Style" w:eastAsia="Bookman Old Style" w:hAnsi="Bookman Old Style" w:cs="Bookman Old Style"/>
      <w:sz w:val="19"/>
      <w:szCs w:val="19"/>
      <w:lang w:val="en-US"/>
    </w:rPr>
  </w:style>
  <w:style w:type="character" w:styleId="Hyperlink">
    <w:name w:val="Hyperlink"/>
    <w:uiPriority w:val="99"/>
    <w:unhideWhenUsed/>
    <w:rsid w:val="00A81871"/>
    <w:rPr>
      <w:color w:val="0000FF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A81871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A81871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789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prb.org" TargetMode="External"/><Relationship Id="rId13" Type="http://schemas.openxmlformats.org/officeDocument/2006/relationships/footer" Target="footer1.xml"/><Relationship Id="rId18" Type="http://schemas.openxmlformats.org/officeDocument/2006/relationships/customXml" Target="../customXml/item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20" Type="http://schemas.openxmlformats.org/officeDocument/2006/relationships/customXml" Target="../customXml/item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worldpopulationbalance.org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hyperlink" Target="http://www.un.org/en/global-issues/population" TargetMode="External"/><Relationship Id="rId19" Type="http://schemas.openxmlformats.org/officeDocument/2006/relationships/customXml" Target="../customXml/item3.xml"/><Relationship Id="rId4" Type="http://schemas.openxmlformats.org/officeDocument/2006/relationships/settings" Target="settings.xml"/><Relationship Id="rId9" Type="http://schemas.openxmlformats.org/officeDocument/2006/relationships/hyperlink" Target="http://www.unfpa.org" TargetMode="External"/><Relationship Id="rId14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DB9DDC7028E794D805565492984EF96" ma:contentTypeVersion="14" ma:contentTypeDescription="Create a new document." ma:contentTypeScope="" ma:versionID="e21d3ff388b36768194b30167479e0e6">
  <xsd:schema xmlns:xsd="http://www.w3.org/2001/XMLSchema" xmlns:xs="http://www.w3.org/2001/XMLSchema" xmlns:p="http://schemas.microsoft.com/office/2006/metadata/properties" xmlns:ns2="45a6bd60-22b1-4450-9352-e2f42537a64c" xmlns:ns3="98e2d6a7-2173-45a5-8917-41cd12866546" targetNamespace="http://schemas.microsoft.com/office/2006/metadata/properties" ma:root="true" ma:fieldsID="0d91cc78eb1237e834c4a66265b1fffe" ns2:_="" ns3:_="">
    <xsd:import namespace="45a6bd60-22b1-4450-9352-e2f42537a64c"/>
    <xsd:import namespace="98e2d6a7-2173-45a5-8917-41cd1286654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Loca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5a6bd60-22b1-4450-9352-e2f42537a64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e0316926-e272-4302-89b0-5e160602c2e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  <xsd:element name="MediaServiceBillingMetadata" ma:index="21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8e2d6a7-2173-45a5-8917-41cd12866546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d3289979-5866-4ab8-bb56-7ac186a67c43}" ma:internalName="TaxCatchAll" ma:showField="CatchAllData" ma:web="98e2d6a7-2173-45a5-8917-41cd1286654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5a6bd60-22b1-4450-9352-e2f42537a64c">
      <Terms xmlns="http://schemas.microsoft.com/office/infopath/2007/PartnerControls"/>
    </lcf76f155ced4ddcb4097134ff3c332f>
    <TaxCatchAll xmlns="98e2d6a7-2173-45a5-8917-41cd12866546" xsi:nil="true"/>
  </documentManagement>
</p:properties>
</file>

<file path=customXml/itemProps1.xml><?xml version="1.0" encoding="utf-8"?>
<ds:datastoreItem xmlns:ds="http://schemas.openxmlformats.org/officeDocument/2006/customXml" ds:itemID="{645BB5CA-DEE4-4F2F-9E87-92D4B9A1BF29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D58A852E-BDDC-4CB9-A9A3-876BAF2F8BC1}"/>
</file>

<file path=customXml/itemProps3.xml><?xml version="1.0" encoding="utf-8"?>
<ds:datastoreItem xmlns:ds="http://schemas.openxmlformats.org/officeDocument/2006/customXml" ds:itemID="{3D99B79A-A652-415D-A998-AC4ADD64CAFB}"/>
</file>

<file path=customXml/itemProps4.xml><?xml version="1.0" encoding="utf-8"?>
<ds:datastoreItem xmlns:ds="http://schemas.openxmlformats.org/officeDocument/2006/customXml" ds:itemID="{F9D9DF02-4EA5-486B-984A-CF1194DBB285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3</Pages>
  <Words>945</Words>
  <Characters>5391</Characters>
  <Application>Microsoft Office Word</Application>
  <DocSecurity>0</DocSecurity>
  <Lines>44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David Bates</dc:creator>
  <cp:keywords/>
  <dc:description/>
  <cp:lastModifiedBy>Katie Frederick</cp:lastModifiedBy>
  <cp:revision>5</cp:revision>
  <dcterms:created xsi:type="dcterms:W3CDTF">2025-05-29T18:05:00Z</dcterms:created>
  <dcterms:modified xsi:type="dcterms:W3CDTF">2025-06-03T15:22:00Z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0x010100EDB9DDC7028E794D805565492984EF96</vt:lpwstr>
  </property>
</Properties>
</file>